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98" w:rsidRPr="00F64498" w:rsidRDefault="00F64498" w:rsidP="00F64498">
      <w:pPr>
        <w:spacing w:before="0" w:line="240" w:lineRule="auto"/>
        <w:rPr>
          <w:rFonts w:eastAsia="Times New Roman"/>
          <w:color w:val="000000"/>
          <w:sz w:val="27"/>
          <w:szCs w:val="27"/>
        </w:rPr>
      </w:pPr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I.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Khái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quát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ngành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thải</w:t>
      </w:r>
      <w:proofErr w:type="spellEnd"/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Ngành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hiện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nay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còn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lẫm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đối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chúng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ta 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Ngành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nằm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mảng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môi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trường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nhưng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hiện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nay,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ngành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này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chủ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chốt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việc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môi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trường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.</w:t>
      </w:r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r w:rsidRPr="00F64498">
        <w:rPr>
          <w:rFonts w:eastAsia="Times New Roman"/>
          <w:color w:val="000000"/>
          <w:sz w:val="24"/>
          <w:szCs w:val="24"/>
        </w:rPr>
        <w:t>“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lỏng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được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ra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sau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dụng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con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đã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bị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thay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đổi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tính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ban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đầu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chúng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.”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bạn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thể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tham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khảo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bài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viết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“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tổng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quan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” 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những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lỏng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được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ra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dụng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con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người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đưa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chúng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bản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ban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đầu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sạch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đạt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theo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định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yêu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cầu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.</w:t>
      </w:r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Một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số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chuẩn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sau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hoạt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QCVN14:2008/BTNMT</w:t>
      </w:r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nghiệp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QCVN40:2011/BTNMT</w:t>
      </w:r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chăn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nuôi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QCVN 62-MT:2016/BTNMT</w:t>
      </w:r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chế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cao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thiên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nhiên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QCVN 01-MT : 2015/BTNMT</w:t>
      </w:r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Quy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chuẩn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quốc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gia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QCVN 11-MT:2015/BTNMT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chế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biến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thủy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sản</w:t>
      </w:r>
      <w:proofErr w:type="spellEnd"/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Quy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chuẩn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quốc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gia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QCVN 60-MT:2015/BTNMT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sản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xuất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cồn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nhiên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liệu</w:t>
      </w:r>
      <w:proofErr w:type="spellEnd"/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Quy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chuẩn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kỹ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thuật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quốc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gia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QCVN13-MT:2015/BTNMT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nghiệp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dệt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nhuộm</w:t>
      </w:r>
      <w:proofErr w:type="spellEnd"/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Quy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chuẩn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kỹ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thuật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quốc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gia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QCVN 52:2013/BTNMT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nghiệp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sản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xuất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thép</w:t>
      </w:r>
      <w:proofErr w:type="spellEnd"/>
    </w:p>
    <w:p w:rsidR="00F64498" w:rsidRPr="00F64498" w:rsidRDefault="00F64498" w:rsidP="00F644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r w:rsidRPr="00F64498">
        <w:rPr>
          <w:rFonts w:eastAsia="Times New Roman"/>
          <w:color w:val="000000"/>
          <w:sz w:val="24"/>
          <w:szCs w:val="24"/>
        </w:rPr>
        <w:t>…</w:t>
      </w:r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Công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thường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tổ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hợp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nhau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kết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hợp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lại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để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tạo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một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đồ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hoàn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chỉnh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Tùy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theo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ngành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mức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độ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 ô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nhiễm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nhau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để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chúng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ta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xuất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ra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nghệ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tối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ưu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hiệu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quả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.</w:t>
      </w:r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Hiện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nay,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tại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Việt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Nam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hầu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như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nghệ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hiện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đại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mới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toàn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cầu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như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MBR,MBBR,FBR,Dùng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thực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vật,hóa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,….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đã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tại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Việt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Nam.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Nhưng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so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mức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độ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tối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ưu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hiệu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quả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chi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vận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hành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thấp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thì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đều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dùng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đến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vật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bằng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pháp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một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án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được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tin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dùng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hiện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nay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vì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hiệu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quả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giá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thành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nhưng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cạnh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thì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việc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để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dùng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được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lại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1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vấn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vì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vậy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hôm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nay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với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những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nghiệm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thực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tế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kiến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thức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mông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muội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xin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được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viết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lại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nuôi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cấy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hành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nghề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vọng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giúp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ích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được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bạn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1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phần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nào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nuôi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cấy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.</w:t>
      </w:r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bằng</w:t>
      </w:r>
      <w:proofErr w:type="spellEnd"/>
      <w:r w:rsidRPr="00F64498">
        <w:rPr>
          <w:rFonts w:eastAsia="Times New Roman"/>
          <w:b/>
          <w:bCs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b/>
          <w:bCs/>
          <w:color w:val="000000"/>
          <w:sz w:val="24"/>
          <w:szCs w:val="24"/>
        </w:rPr>
        <w:t>sinh</w:t>
      </w:r>
      <w:proofErr w:type="spellEnd"/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Hiện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nay,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để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nhiều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án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như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hóa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học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học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học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,…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bạn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thể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tham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khảo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bài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viết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“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biện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pháp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hoạt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 “.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chuyên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mục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này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chỉ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nói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về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pháp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bằng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.</w:t>
      </w:r>
    </w:p>
    <w:p w:rsidR="00F64498" w:rsidRPr="00F64498" w:rsidRDefault="00F64498" w:rsidP="00F64498">
      <w:p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r w:rsidRPr="00F64498">
        <w:rPr>
          <w:rFonts w:eastAsia="Times New Roman"/>
          <w:color w:val="000000"/>
          <w:sz w:val="24"/>
          <w:szCs w:val="24"/>
        </w:rPr>
        <w:t xml:space="preserve">1.Khái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niệm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</w:p>
    <w:p w:rsidR="00F64498" w:rsidRPr="00F64498" w:rsidRDefault="00F64498" w:rsidP="00F644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lastRenderedPageBreak/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bằng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pháp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học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chủ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yếu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dựa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hoạt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động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sống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vật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vật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trong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dùng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các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hợp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hữu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một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số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chất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khoáng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nguồn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dưỡng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và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tạo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ra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năng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lượng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.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Sản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phẩm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cuối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của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quá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trình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H2O, CO2, N2,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Muối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,..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Đó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khái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niệm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nguyên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tắc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nước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thải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bằng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</w:p>
    <w:p w:rsidR="00F64498" w:rsidRPr="00F64498" w:rsidRDefault="00F64498" w:rsidP="00F644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color w:val="000000"/>
          <w:sz w:val="27"/>
          <w:szCs w:val="27"/>
        </w:rPr>
      </w:pPr>
      <w:proofErr w:type="spellStart"/>
      <w:r w:rsidRPr="00F64498">
        <w:rPr>
          <w:rFonts w:eastAsia="Times New Roman"/>
          <w:color w:val="000000"/>
          <w:sz w:val="24"/>
          <w:szCs w:val="24"/>
        </w:rPr>
        <w:t>Có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3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phương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pháp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xử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lý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vi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sinh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chủ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yếu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là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Kị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khí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thiếu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khí,hiếu</w:t>
      </w:r>
      <w:proofErr w:type="spellEnd"/>
      <w:r w:rsidRPr="00F6449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F64498">
        <w:rPr>
          <w:rFonts w:eastAsia="Times New Roman"/>
          <w:color w:val="000000"/>
          <w:sz w:val="24"/>
          <w:szCs w:val="24"/>
        </w:rPr>
        <w:t>khí</w:t>
      </w:r>
      <w:proofErr w:type="spellEnd"/>
    </w:p>
    <w:p w:rsidR="005C25AF" w:rsidRPr="00F64498" w:rsidRDefault="005C25AF" w:rsidP="00F64498">
      <w:bookmarkStart w:id="0" w:name="_GoBack"/>
      <w:bookmarkEnd w:id="0"/>
    </w:p>
    <w:sectPr w:rsidR="005C25AF" w:rsidRPr="00F6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08C"/>
    <w:multiLevelType w:val="multilevel"/>
    <w:tmpl w:val="594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8266D"/>
    <w:multiLevelType w:val="multilevel"/>
    <w:tmpl w:val="D1E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E4F6B"/>
    <w:multiLevelType w:val="hybridMultilevel"/>
    <w:tmpl w:val="BF42C346"/>
    <w:lvl w:ilvl="0" w:tplc="DFAA39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B46901"/>
    <w:multiLevelType w:val="multilevel"/>
    <w:tmpl w:val="D0F840C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4BE1888"/>
    <w:multiLevelType w:val="hybridMultilevel"/>
    <w:tmpl w:val="9C1ED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0366E"/>
    <w:multiLevelType w:val="hybridMultilevel"/>
    <w:tmpl w:val="271A92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8415A"/>
    <w:multiLevelType w:val="hybridMultilevel"/>
    <w:tmpl w:val="0E508558"/>
    <w:lvl w:ilvl="0" w:tplc="11C63D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10"/>
    <w:rsid w:val="001205D6"/>
    <w:rsid w:val="005C25AF"/>
    <w:rsid w:val="00676110"/>
    <w:rsid w:val="00790F23"/>
    <w:rsid w:val="00CE171F"/>
    <w:rsid w:val="00F6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50E724-E6E5-4706-A7EA-CDB91CA8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5AF"/>
    <w:pPr>
      <w:spacing w:before="120" w:after="0" w:line="31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644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449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hoanglehuynh</dc:creator>
  <cp:keywords/>
  <dc:description/>
  <cp:lastModifiedBy>Windows User</cp:lastModifiedBy>
  <cp:revision>3</cp:revision>
  <dcterms:created xsi:type="dcterms:W3CDTF">2018-01-24T01:03:00Z</dcterms:created>
  <dcterms:modified xsi:type="dcterms:W3CDTF">2018-01-24T16:18:00Z</dcterms:modified>
</cp:coreProperties>
</file>